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32" w:rsidRDefault="00A41030" w:rsidP="00885D1D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10.35pt;width:332.25pt;height:95.3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885D1D" w:rsidRPr="00885D1D" w:rsidRDefault="00885D1D" w:rsidP="00885D1D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 </w:t>
                  </w:r>
                </w:p>
                <w:p w:rsidR="00885D1D" w:rsidRDefault="00885D1D" w:rsidP="00885D1D"/>
              </w:txbxContent>
            </v:textbox>
          </v:shape>
        </w:pict>
      </w:r>
      <w:r w:rsidR="00885D1D">
        <w:rPr>
          <w:noProof/>
        </w:rPr>
        <w:drawing>
          <wp:inline distT="0" distB="0" distL="0" distR="0">
            <wp:extent cx="1549758" cy="774710"/>
            <wp:effectExtent l="19050" t="0" r="0" b="0"/>
            <wp:docPr id="1" name="Grafik 0" descr="MV_ArGlSo_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_ArGlSo_L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14" cy="77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1D" w:rsidRDefault="00885D1D" w:rsidP="00885D1D">
      <w:pPr>
        <w:jc w:val="right"/>
      </w:pPr>
    </w:p>
    <w:p w:rsidR="00885D1D" w:rsidRDefault="00885D1D" w:rsidP="00885D1D">
      <w:pPr>
        <w:jc w:val="right"/>
      </w:pPr>
    </w:p>
    <w:p w:rsidR="00885D1D" w:rsidRDefault="00885D1D" w:rsidP="00885D1D">
      <w:pPr>
        <w:jc w:val="right"/>
      </w:pPr>
    </w:p>
    <w:p w:rsidR="00885D1D" w:rsidRDefault="00885D1D" w:rsidP="00885D1D">
      <w:pPr>
        <w:spacing w:after="120"/>
        <w:ind w:left="708"/>
        <w:rPr>
          <w:rFonts w:ascii="Arial" w:hAnsi="Arial" w:cs="Arial"/>
          <w:szCs w:val="24"/>
        </w:rPr>
      </w:pPr>
      <w:r w:rsidRPr="00885D1D">
        <w:rPr>
          <w:rFonts w:ascii="Arial" w:hAnsi="Arial" w:cs="Arial"/>
          <w:b/>
          <w:sz w:val="36"/>
          <w:szCs w:val="36"/>
        </w:rPr>
        <w:t>Entsorgung nicht mehr benötigter</w:t>
      </w:r>
      <w:r>
        <w:rPr>
          <w:rFonts w:ascii="Arial" w:hAnsi="Arial" w:cs="Arial"/>
          <w:b/>
          <w:sz w:val="36"/>
          <w:szCs w:val="36"/>
        </w:rPr>
        <w:br/>
      </w:r>
      <w:r w:rsidRPr="00885D1D">
        <w:rPr>
          <w:rFonts w:ascii="Arial" w:hAnsi="Arial" w:cs="Arial"/>
          <w:b/>
          <w:sz w:val="36"/>
          <w:szCs w:val="36"/>
        </w:rPr>
        <w:t>oder abgelaufener Arzneimittel</w:t>
      </w:r>
      <w:r w:rsidRPr="00A277C1">
        <w:rPr>
          <w:rFonts w:ascii="Arial" w:hAnsi="Arial" w:cs="Arial"/>
          <w:szCs w:val="24"/>
        </w:rPr>
        <w:t xml:space="preserve"> </w:t>
      </w:r>
    </w:p>
    <w:p w:rsidR="00885D1D" w:rsidRDefault="00885D1D" w:rsidP="00885D1D">
      <w:pPr>
        <w:spacing w:after="120"/>
        <w:ind w:left="708"/>
        <w:jc w:val="both"/>
        <w:rPr>
          <w:rFonts w:ascii="Arial" w:hAnsi="Arial" w:cs="Arial"/>
          <w:szCs w:val="24"/>
        </w:rPr>
      </w:pPr>
    </w:p>
    <w:p w:rsidR="00885D1D" w:rsidRPr="00A277C1" w:rsidRDefault="00885D1D" w:rsidP="004E4D0C">
      <w:pPr>
        <w:spacing w:after="120"/>
        <w:ind w:left="708"/>
        <w:jc w:val="both"/>
        <w:rPr>
          <w:rFonts w:ascii="Arial" w:hAnsi="Arial" w:cs="Arial"/>
          <w:szCs w:val="24"/>
        </w:rPr>
      </w:pPr>
      <w:r w:rsidRPr="00A277C1">
        <w:rPr>
          <w:rFonts w:ascii="Arial" w:hAnsi="Arial" w:cs="Arial"/>
          <w:szCs w:val="24"/>
        </w:rPr>
        <w:t>Zum Schutz der Umwelt und Gewässer sowie zur Vermeidung von missbräuchl</w:t>
      </w:r>
      <w:r w:rsidRPr="00A277C1">
        <w:rPr>
          <w:rFonts w:ascii="Arial" w:hAnsi="Arial" w:cs="Arial"/>
          <w:szCs w:val="24"/>
        </w:rPr>
        <w:t>i</w:t>
      </w:r>
      <w:r w:rsidRPr="00A277C1">
        <w:rPr>
          <w:rFonts w:ascii="Arial" w:hAnsi="Arial" w:cs="Arial"/>
          <w:szCs w:val="24"/>
        </w:rPr>
        <w:t>chem Zugriff ist eine sachgerechte Entsorgung nicht mehr benötigter oder abgela</w:t>
      </w:r>
      <w:r w:rsidRPr="00A277C1">
        <w:rPr>
          <w:rFonts w:ascii="Arial" w:hAnsi="Arial" w:cs="Arial"/>
          <w:szCs w:val="24"/>
        </w:rPr>
        <w:t>u</w:t>
      </w:r>
      <w:r w:rsidRPr="00A277C1">
        <w:rPr>
          <w:rFonts w:ascii="Arial" w:hAnsi="Arial" w:cs="Arial"/>
          <w:szCs w:val="24"/>
        </w:rPr>
        <w:t>fener Arzneimittel erforderlich.</w:t>
      </w:r>
    </w:p>
    <w:p w:rsidR="00885D1D" w:rsidRPr="00A167FB" w:rsidRDefault="00885D1D" w:rsidP="004E4D0C">
      <w:pPr>
        <w:spacing w:after="120"/>
        <w:ind w:left="708"/>
        <w:jc w:val="both"/>
        <w:rPr>
          <w:rFonts w:ascii="Arial" w:hAnsi="Arial" w:cs="Arial"/>
          <w:spacing w:val="-4"/>
          <w:u w:val="single"/>
        </w:rPr>
      </w:pPr>
      <w:r w:rsidRPr="00A167FB">
        <w:rPr>
          <w:rFonts w:ascii="Arial" w:hAnsi="Arial" w:cs="Arial"/>
          <w:spacing w:val="-4"/>
        </w:rPr>
        <w:t>Ein durch das Bundesministerium für Bildung und Forschung initiiertes Projekt hat e</w:t>
      </w:r>
      <w:r w:rsidRPr="00A167FB">
        <w:rPr>
          <w:rFonts w:ascii="Arial" w:hAnsi="Arial" w:cs="Arial"/>
          <w:spacing w:val="-4"/>
        </w:rPr>
        <w:t>r</w:t>
      </w:r>
      <w:r w:rsidRPr="00A167FB">
        <w:rPr>
          <w:rFonts w:ascii="Arial" w:hAnsi="Arial" w:cs="Arial"/>
          <w:spacing w:val="-4"/>
        </w:rPr>
        <w:t>geben, dass fast die Hälfte der Bevölkerung nicht mehr benötigte oder abgelaufene Arzneimittel über die Toilette oder das Waschbecken entsorgt. Die Folgen sind Ar</w:t>
      </w:r>
      <w:r w:rsidRPr="00A167FB">
        <w:rPr>
          <w:rFonts w:ascii="Arial" w:hAnsi="Arial" w:cs="Arial"/>
          <w:spacing w:val="-4"/>
        </w:rPr>
        <w:t>z</w:t>
      </w:r>
      <w:r w:rsidRPr="00A167FB">
        <w:rPr>
          <w:rFonts w:ascii="Arial" w:hAnsi="Arial" w:cs="Arial"/>
          <w:spacing w:val="-4"/>
        </w:rPr>
        <w:t xml:space="preserve">neimittelrückstände im Wasser und diese führen zu einem weltweiten Umweltproblem. Auch in Deutschland wurden in nahezu allen Gewässern Rückstände von Arzneimitteln nachgewiesen. </w:t>
      </w:r>
      <w:r w:rsidRPr="00A167FB">
        <w:rPr>
          <w:rFonts w:ascii="Arial" w:hAnsi="Arial" w:cs="Arial"/>
          <w:spacing w:val="-4"/>
          <w:u w:val="single"/>
        </w:rPr>
        <w:t>Dieser Entsorgungsweg sollte in jedem Fall vermieden werden.</w:t>
      </w:r>
    </w:p>
    <w:p w:rsidR="00885D1D" w:rsidRPr="00A277C1" w:rsidRDefault="00885D1D" w:rsidP="004E4D0C">
      <w:pPr>
        <w:spacing w:after="120"/>
        <w:ind w:left="708"/>
        <w:jc w:val="both"/>
        <w:rPr>
          <w:rFonts w:ascii="Arial" w:hAnsi="Arial" w:cs="Arial"/>
        </w:rPr>
      </w:pPr>
    </w:p>
    <w:p w:rsidR="00885D1D" w:rsidRPr="00A277C1" w:rsidRDefault="00885D1D" w:rsidP="004E4D0C">
      <w:pPr>
        <w:spacing w:after="120"/>
        <w:ind w:left="708"/>
        <w:jc w:val="both"/>
        <w:rPr>
          <w:rFonts w:ascii="Arial" w:hAnsi="Arial" w:cs="Arial"/>
          <w:b/>
        </w:rPr>
      </w:pPr>
      <w:r w:rsidRPr="00A277C1">
        <w:rPr>
          <w:rFonts w:ascii="Arial" w:hAnsi="Arial" w:cs="Arial"/>
          <w:b/>
        </w:rPr>
        <w:t>Auf der Internetplattform</w:t>
      </w:r>
      <w:r>
        <w:rPr>
          <w:rFonts w:ascii="Arial" w:hAnsi="Arial" w:cs="Arial"/>
          <w:b/>
        </w:rPr>
        <w:t xml:space="preserve"> </w:t>
      </w:r>
      <w:hyperlink r:id="rId7" w:history="1">
        <w:r w:rsidRPr="00A277C1">
          <w:rPr>
            <w:rStyle w:val="Hyperlink"/>
            <w:rFonts w:ascii="Arial" w:hAnsi="Arial" w:cs="Arial"/>
            <w:b/>
          </w:rPr>
          <w:t>www.arzneimittelentsorgung.de</w:t>
        </w:r>
      </w:hyperlink>
      <w:r>
        <w:rPr>
          <w:rFonts w:ascii="Arial" w:hAnsi="Arial" w:cs="Arial"/>
          <w:b/>
        </w:rPr>
        <w:t xml:space="preserve">, </w:t>
      </w:r>
      <w:r w:rsidRPr="00A277C1">
        <w:rPr>
          <w:rFonts w:ascii="Arial" w:hAnsi="Arial" w:cs="Arial"/>
          <w:b/>
        </w:rPr>
        <w:t>freigeschaltet</w:t>
      </w:r>
      <w:r>
        <w:rPr>
          <w:rFonts w:ascii="Arial" w:hAnsi="Arial" w:cs="Arial"/>
          <w:b/>
        </w:rPr>
        <w:t xml:space="preserve"> </w:t>
      </w:r>
      <w:r w:rsidRPr="00A277C1">
        <w:rPr>
          <w:rFonts w:ascii="Arial" w:hAnsi="Arial" w:cs="Arial"/>
          <w:b/>
        </w:rPr>
        <w:t>seit Februar 2015</w:t>
      </w:r>
      <w:r>
        <w:rPr>
          <w:rFonts w:ascii="Arial" w:hAnsi="Arial" w:cs="Arial"/>
          <w:b/>
        </w:rPr>
        <w:t>,</w:t>
      </w:r>
      <w:r w:rsidRPr="00A277C1">
        <w:rPr>
          <w:rFonts w:ascii="Arial" w:hAnsi="Arial" w:cs="Arial"/>
          <w:b/>
        </w:rPr>
        <w:t xml:space="preserve"> können sich Verbraucher darüber informieren, welche umwel</w:t>
      </w:r>
      <w:r w:rsidRPr="00A277C1">
        <w:rPr>
          <w:rFonts w:ascii="Arial" w:hAnsi="Arial" w:cs="Arial"/>
          <w:b/>
        </w:rPr>
        <w:t>t</w:t>
      </w:r>
      <w:r w:rsidRPr="00A277C1">
        <w:rPr>
          <w:rFonts w:ascii="Arial" w:hAnsi="Arial" w:cs="Arial"/>
          <w:b/>
        </w:rPr>
        <w:t>bewussten Entsorgungsmöglichkeiten für den jeweils ausgewählten Lan</w:t>
      </w:r>
      <w:r w:rsidRPr="00A277C1">
        <w:rPr>
          <w:rFonts w:ascii="Arial" w:hAnsi="Arial" w:cs="Arial"/>
          <w:b/>
        </w:rPr>
        <w:t>d</w:t>
      </w:r>
      <w:r w:rsidRPr="00A277C1">
        <w:rPr>
          <w:rFonts w:ascii="Arial" w:hAnsi="Arial" w:cs="Arial"/>
          <w:b/>
        </w:rPr>
        <w:t>kreis oder die kreisfreie Stadt empfohlen werden.</w:t>
      </w:r>
    </w:p>
    <w:p w:rsidR="00885D1D" w:rsidRDefault="00885D1D" w:rsidP="004E4D0C">
      <w:pPr>
        <w:spacing w:after="120"/>
        <w:ind w:left="708"/>
        <w:jc w:val="both"/>
        <w:rPr>
          <w:rFonts w:ascii="Arial" w:hAnsi="Arial" w:cs="Arial"/>
        </w:rPr>
      </w:pPr>
    </w:p>
    <w:p w:rsidR="00885D1D" w:rsidRPr="00A277C1" w:rsidRDefault="00885D1D" w:rsidP="004E4D0C">
      <w:pPr>
        <w:spacing w:after="120"/>
        <w:ind w:left="708"/>
        <w:jc w:val="both"/>
        <w:rPr>
          <w:rFonts w:ascii="Arial" w:hAnsi="Arial" w:cs="Arial"/>
        </w:rPr>
      </w:pPr>
      <w:r w:rsidRPr="00A277C1">
        <w:rPr>
          <w:rFonts w:ascii="Arial" w:hAnsi="Arial" w:cs="Arial"/>
        </w:rPr>
        <w:t xml:space="preserve">Es bestehen folgende Entsorgungswege: </w:t>
      </w:r>
    </w:p>
    <w:p w:rsidR="00885D1D" w:rsidRPr="00A277C1" w:rsidRDefault="00885D1D" w:rsidP="004E4D0C">
      <w:pPr>
        <w:numPr>
          <w:ilvl w:val="0"/>
          <w:numId w:val="1"/>
        </w:numPr>
        <w:spacing w:after="120"/>
        <w:ind w:left="1068"/>
        <w:jc w:val="both"/>
        <w:rPr>
          <w:rFonts w:ascii="Arial" w:hAnsi="Arial" w:cs="Arial"/>
          <w:b/>
        </w:rPr>
      </w:pPr>
      <w:r w:rsidRPr="00A277C1">
        <w:rPr>
          <w:rFonts w:ascii="Arial" w:hAnsi="Arial" w:cs="Arial"/>
          <w:b/>
        </w:rPr>
        <w:t xml:space="preserve">Entsorgung über den Hausmüll </w:t>
      </w:r>
    </w:p>
    <w:p w:rsidR="00885D1D" w:rsidRPr="00A277C1" w:rsidRDefault="00885D1D" w:rsidP="004E4D0C">
      <w:pPr>
        <w:spacing w:after="120"/>
        <w:ind w:left="1068"/>
        <w:jc w:val="both"/>
        <w:rPr>
          <w:rFonts w:ascii="Arial" w:hAnsi="Arial" w:cs="Arial"/>
        </w:rPr>
      </w:pPr>
      <w:r w:rsidRPr="00A277C1">
        <w:rPr>
          <w:rFonts w:ascii="Arial" w:hAnsi="Arial" w:cs="Arial"/>
        </w:rPr>
        <w:t>Sofern auf den Beipackzetteln keine speziellen Hinweise für die Entsorgung a</w:t>
      </w:r>
      <w:r w:rsidRPr="00A277C1">
        <w:rPr>
          <w:rFonts w:ascii="Arial" w:hAnsi="Arial" w:cs="Arial"/>
        </w:rPr>
        <w:t>n</w:t>
      </w:r>
      <w:r w:rsidRPr="00A277C1">
        <w:rPr>
          <w:rFonts w:ascii="Arial" w:hAnsi="Arial" w:cs="Arial"/>
        </w:rPr>
        <w:t>gegeben sind, gelten Arzneimittel als Siedlungsabfall und können in den Hau</w:t>
      </w:r>
      <w:r w:rsidRPr="00A277C1">
        <w:rPr>
          <w:rFonts w:ascii="Arial" w:hAnsi="Arial" w:cs="Arial"/>
        </w:rPr>
        <w:t>s</w:t>
      </w:r>
      <w:r w:rsidRPr="00A277C1">
        <w:rPr>
          <w:rFonts w:ascii="Arial" w:hAnsi="Arial" w:cs="Arial"/>
        </w:rPr>
        <w:t>müll gegeben werden, insbesondere wenn dieser einer Müllverbrennung zug</w:t>
      </w:r>
      <w:r w:rsidRPr="00A277C1">
        <w:rPr>
          <w:rFonts w:ascii="Arial" w:hAnsi="Arial" w:cs="Arial"/>
        </w:rPr>
        <w:t>e</w:t>
      </w:r>
      <w:r w:rsidRPr="00A277C1">
        <w:rPr>
          <w:rFonts w:ascii="Arial" w:hAnsi="Arial" w:cs="Arial"/>
        </w:rPr>
        <w:t xml:space="preserve">führt wird. Dieser Entsorgungsweg ist mit wenig Aufwand verbunden, gleichzeitig aber umweltbewusst und sicher. </w:t>
      </w:r>
      <w:r w:rsidRPr="004E4D0C">
        <w:rPr>
          <w:rFonts w:ascii="Arial" w:hAnsi="Arial" w:cs="Arial"/>
          <w:u w:val="single"/>
        </w:rPr>
        <w:t>In diesen Fällen ist darauf zu achten, dass e</w:t>
      </w:r>
      <w:r w:rsidRPr="004E4D0C">
        <w:rPr>
          <w:rFonts w:ascii="Arial" w:hAnsi="Arial" w:cs="Arial"/>
          <w:u w:val="single"/>
        </w:rPr>
        <w:t>i</w:t>
      </w:r>
      <w:r w:rsidRPr="004E4D0C">
        <w:rPr>
          <w:rFonts w:ascii="Arial" w:hAnsi="Arial" w:cs="Arial"/>
          <w:u w:val="single"/>
        </w:rPr>
        <w:t>n Zugriff von Unbefugten, z.</w:t>
      </w:r>
      <w:r w:rsidR="004E4D0C">
        <w:rPr>
          <w:rFonts w:ascii="Arial" w:hAnsi="Arial" w:cs="Arial"/>
          <w:u w:val="single"/>
        </w:rPr>
        <w:t xml:space="preserve"> </w:t>
      </w:r>
      <w:r w:rsidRPr="004E4D0C">
        <w:rPr>
          <w:rFonts w:ascii="Arial" w:hAnsi="Arial" w:cs="Arial"/>
          <w:u w:val="single"/>
        </w:rPr>
        <w:t xml:space="preserve">B. Kindern, </w:t>
      </w:r>
      <w:r w:rsidR="004E4D0C" w:rsidRPr="004E4D0C">
        <w:rPr>
          <w:rFonts w:ascii="Arial" w:hAnsi="Arial" w:cs="Arial"/>
          <w:u w:val="single"/>
        </w:rPr>
        <w:t>verhindert</w:t>
      </w:r>
      <w:r w:rsidRPr="004E4D0C">
        <w:rPr>
          <w:rFonts w:ascii="Arial" w:hAnsi="Arial" w:cs="Arial"/>
          <w:u w:val="single"/>
        </w:rPr>
        <w:t xml:space="preserve"> wird.</w:t>
      </w:r>
      <w:r w:rsidRPr="00A277C1">
        <w:rPr>
          <w:rFonts w:ascii="Arial" w:hAnsi="Arial" w:cs="Arial"/>
        </w:rPr>
        <w:t xml:space="preserve"> Dazu könnten die Ar</w:t>
      </w:r>
      <w:r w:rsidRPr="00A277C1">
        <w:rPr>
          <w:rFonts w:ascii="Arial" w:hAnsi="Arial" w:cs="Arial"/>
        </w:rPr>
        <w:t>z</w:t>
      </w:r>
      <w:r w:rsidRPr="00A277C1">
        <w:rPr>
          <w:rFonts w:ascii="Arial" w:hAnsi="Arial" w:cs="Arial"/>
        </w:rPr>
        <w:t>neimittel so verpackt werden, dass sie nicht sofort erkennbar sind.</w:t>
      </w:r>
    </w:p>
    <w:p w:rsidR="00885D1D" w:rsidRPr="00A277C1" w:rsidRDefault="00885D1D" w:rsidP="004E4D0C">
      <w:pPr>
        <w:numPr>
          <w:ilvl w:val="0"/>
          <w:numId w:val="1"/>
        </w:numPr>
        <w:spacing w:after="120"/>
        <w:ind w:left="1068"/>
        <w:jc w:val="both"/>
        <w:rPr>
          <w:rFonts w:ascii="Arial" w:hAnsi="Arial" w:cs="Arial"/>
          <w:b/>
        </w:rPr>
      </w:pPr>
      <w:r w:rsidRPr="00A277C1">
        <w:rPr>
          <w:rFonts w:ascii="Arial" w:hAnsi="Arial" w:cs="Arial"/>
          <w:b/>
        </w:rPr>
        <w:t>Entsorgung über Recyclinghöfe oder</w:t>
      </w:r>
      <w:r w:rsidRPr="00A277C1">
        <w:rPr>
          <w:rFonts w:ascii="Arial" w:hAnsi="Arial" w:cs="Arial"/>
        </w:rPr>
        <w:t xml:space="preserve"> </w:t>
      </w:r>
      <w:r w:rsidRPr="00A277C1">
        <w:rPr>
          <w:rFonts w:ascii="Arial" w:hAnsi="Arial" w:cs="Arial"/>
          <w:b/>
        </w:rPr>
        <w:t>Schadstoffmobile</w:t>
      </w:r>
    </w:p>
    <w:p w:rsidR="00885D1D" w:rsidRPr="00A277C1" w:rsidRDefault="00885D1D" w:rsidP="004E4D0C">
      <w:pPr>
        <w:spacing w:after="120"/>
        <w:ind w:left="1068"/>
        <w:jc w:val="both"/>
        <w:rPr>
          <w:rFonts w:ascii="Arial" w:hAnsi="Arial" w:cs="Arial"/>
        </w:rPr>
      </w:pPr>
      <w:r w:rsidRPr="00A277C1">
        <w:rPr>
          <w:rFonts w:ascii="Arial" w:hAnsi="Arial" w:cs="Arial"/>
        </w:rPr>
        <w:t>Viele Gemeinden betreiben Recyclinghöfe und/oder mobile Schadstoff-Sammelstellen und bieten dort auch die Möglichkeit zur Entsorgung von Arzne</w:t>
      </w:r>
      <w:r w:rsidRPr="00A277C1">
        <w:rPr>
          <w:rFonts w:ascii="Arial" w:hAnsi="Arial" w:cs="Arial"/>
        </w:rPr>
        <w:t>i</w:t>
      </w:r>
      <w:r w:rsidRPr="00A277C1">
        <w:rPr>
          <w:rFonts w:ascii="Arial" w:hAnsi="Arial" w:cs="Arial"/>
        </w:rPr>
        <w:t>mitteln.</w:t>
      </w:r>
    </w:p>
    <w:p w:rsidR="00885D1D" w:rsidRPr="00A277C1" w:rsidRDefault="00885D1D" w:rsidP="004E4D0C">
      <w:pPr>
        <w:spacing w:after="120"/>
        <w:ind w:left="1068"/>
        <w:jc w:val="both"/>
        <w:rPr>
          <w:rFonts w:ascii="Arial" w:hAnsi="Arial" w:cs="Arial"/>
        </w:rPr>
      </w:pPr>
      <w:r w:rsidRPr="00A277C1">
        <w:rPr>
          <w:rFonts w:ascii="Arial" w:hAnsi="Arial" w:cs="Arial"/>
        </w:rPr>
        <w:t>Auskünfte erteilen die Landkreise oder Gemeinden.</w:t>
      </w:r>
    </w:p>
    <w:p w:rsidR="00885D1D" w:rsidRPr="00A277C1" w:rsidRDefault="00885D1D" w:rsidP="004E4D0C">
      <w:pPr>
        <w:numPr>
          <w:ilvl w:val="0"/>
          <w:numId w:val="1"/>
        </w:numPr>
        <w:spacing w:after="120"/>
        <w:ind w:left="1068"/>
        <w:jc w:val="both"/>
        <w:rPr>
          <w:rFonts w:ascii="Arial" w:hAnsi="Arial" w:cs="Arial"/>
          <w:b/>
        </w:rPr>
      </w:pPr>
      <w:r w:rsidRPr="00A277C1">
        <w:rPr>
          <w:rFonts w:ascii="Arial" w:hAnsi="Arial" w:cs="Arial"/>
          <w:b/>
        </w:rPr>
        <w:t>Entsorgung über Apotheken</w:t>
      </w:r>
    </w:p>
    <w:p w:rsidR="00885D1D" w:rsidRPr="00A277C1" w:rsidRDefault="00885D1D" w:rsidP="004E4D0C">
      <w:pPr>
        <w:spacing w:after="120"/>
        <w:ind w:left="1068"/>
        <w:jc w:val="both"/>
        <w:rPr>
          <w:rFonts w:ascii="Arial" w:hAnsi="Arial" w:cs="Arial"/>
        </w:rPr>
      </w:pPr>
      <w:r w:rsidRPr="00A277C1">
        <w:rPr>
          <w:rFonts w:ascii="Arial" w:hAnsi="Arial" w:cs="Arial"/>
        </w:rPr>
        <w:t xml:space="preserve">Ein Teil der Apotheken bietet die Rücknahme von Arzneimitteln auf freiwilliger Basis an und garantiert so eine sichere und umweltgerechte Entsorgung. </w:t>
      </w:r>
    </w:p>
    <w:p w:rsidR="00885D1D" w:rsidRPr="00A277C1" w:rsidRDefault="00885D1D" w:rsidP="004E4D0C">
      <w:pPr>
        <w:spacing w:after="120"/>
        <w:ind w:left="1068"/>
        <w:jc w:val="both"/>
        <w:rPr>
          <w:rFonts w:ascii="Arial" w:hAnsi="Arial" w:cs="Arial"/>
        </w:rPr>
      </w:pPr>
      <w:r w:rsidRPr="00A277C1">
        <w:rPr>
          <w:rFonts w:ascii="Arial" w:hAnsi="Arial" w:cs="Arial"/>
        </w:rPr>
        <w:t>Bitte fragen Sie in Ihrer Apotheke nach.</w:t>
      </w:r>
    </w:p>
    <w:p w:rsidR="00885D1D" w:rsidRDefault="00885D1D" w:rsidP="00885D1D">
      <w:pPr>
        <w:jc w:val="both"/>
      </w:pPr>
      <w:r>
        <w:tab/>
      </w:r>
    </w:p>
    <w:p w:rsidR="00885D1D" w:rsidRDefault="00885D1D" w:rsidP="00885D1D">
      <w:pPr>
        <w:jc w:val="both"/>
      </w:pPr>
    </w:p>
    <w:p w:rsidR="00885D1D" w:rsidRPr="00885D1D" w:rsidRDefault="00885D1D" w:rsidP="00A167FB">
      <w:pPr>
        <w:ind w:left="705"/>
        <w:rPr>
          <w:rFonts w:ascii="Arial" w:hAnsi="Arial" w:cs="Arial"/>
          <w:b/>
          <w:sz w:val="16"/>
          <w:szCs w:val="16"/>
        </w:rPr>
      </w:pPr>
      <w:r w:rsidRPr="00885D1D">
        <w:rPr>
          <w:rFonts w:ascii="Arial" w:hAnsi="Arial" w:cs="Arial"/>
          <w:b/>
          <w:sz w:val="16"/>
          <w:szCs w:val="16"/>
        </w:rPr>
        <w:t>Kontakt: Ministerium für Arbeit, Gleichstellung und Soziales, Referat Öffentliches Gesundheitswesen, Infektion</w:t>
      </w:r>
      <w:r w:rsidRPr="00885D1D">
        <w:rPr>
          <w:rFonts w:ascii="Arial" w:hAnsi="Arial" w:cs="Arial"/>
          <w:b/>
          <w:sz w:val="16"/>
          <w:szCs w:val="16"/>
        </w:rPr>
        <w:t>s</w:t>
      </w:r>
      <w:r w:rsidRPr="00885D1D">
        <w:rPr>
          <w:rFonts w:ascii="Arial" w:hAnsi="Arial" w:cs="Arial"/>
          <w:b/>
          <w:sz w:val="16"/>
          <w:szCs w:val="16"/>
        </w:rPr>
        <w:t>schutz, Arzneimittelwesen, Rettungsdienst, 19048 Schwerin,  Werderstraße 124, 19055 Schwerin, Frau Gabriele Adam, Tel.: 0385 / 588 9357, E-Mail: Gabriele.Adam@sm.mv-regierung.de</w:t>
      </w:r>
    </w:p>
    <w:sectPr w:rsidR="00885D1D" w:rsidRPr="00885D1D" w:rsidSect="00885D1D">
      <w:pgSz w:w="11906" w:h="16838"/>
      <w:pgMar w:top="720" w:right="153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BC3"/>
    <w:multiLevelType w:val="hybridMultilevel"/>
    <w:tmpl w:val="D5BE6F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885D1D"/>
    <w:rsid w:val="00007E0D"/>
    <w:rsid w:val="000E6DFF"/>
    <w:rsid w:val="00157DCA"/>
    <w:rsid w:val="001D4DA8"/>
    <w:rsid w:val="001D6A68"/>
    <w:rsid w:val="00253B46"/>
    <w:rsid w:val="003D3A7F"/>
    <w:rsid w:val="003F57ED"/>
    <w:rsid w:val="004E4D0C"/>
    <w:rsid w:val="004E540C"/>
    <w:rsid w:val="00536C04"/>
    <w:rsid w:val="005F535A"/>
    <w:rsid w:val="00770015"/>
    <w:rsid w:val="00885D1D"/>
    <w:rsid w:val="009C5976"/>
    <w:rsid w:val="009D0522"/>
    <w:rsid w:val="00A0421F"/>
    <w:rsid w:val="00A167FB"/>
    <w:rsid w:val="00A41030"/>
    <w:rsid w:val="00A73FAB"/>
    <w:rsid w:val="00B06EE3"/>
    <w:rsid w:val="00B51564"/>
    <w:rsid w:val="00B56944"/>
    <w:rsid w:val="00C94741"/>
    <w:rsid w:val="00D06BB3"/>
    <w:rsid w:val="00DC7506"/>
    <w:rsid w:val="00DD5032"/>
    <w:rsid w:val="00EA13C8"/>
    <w:rsid w:val="00EA439A"/>
    <w:rsid w:val="00EF2C64"/>
    <w:rsid w:val="00FB790B"/>
    <w:rsid w:val="00F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D1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503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503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503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503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5032"/>
    <w:pPr>
      <w:spacing w:line="276" w:lineRule="auto"/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  <w:rsid w:val="00DD503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D5032"/>
    <w:pPr>
      <w:spacing w:after="100"/>
      <w:ind w:left="240"/>
    </w:pPr>
  </w:style>
  <w:style w:type="character" w:styleId="Hyperlink">
    <w:name w:val="Hyperlink"/>
    <w:basedOn w:val="Absatz-Standardschriftart"/>
    <w:unhideWhenUsed/>
    <w:rsid w:val="00DD50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0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zneimittelentsorgun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CFF2-9EC9-4F28-82D9-0A3EBABD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Gesundheit und Soziales MV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neutzlinga</dc:creator>
  <cp:lastModifiedBy>neutzlinga</cp:lastModifiedBy>
  <cp:revision>2</cp:revision>
  <cp:lastPrinted>2015-10-28T11:10:00Z</cp:lastPrinted>
  <dcterms:created xsi:type="dcterms:W3CDTF">2015-10-27T14:03:00Z</dcterms:created>
  <dcterms:modified xsi:type="dcterms:W3CDTF">2015-10-28T11:11:00Z</dcterms:modified>
</cp:coreProperties>
</file>