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340"/>
      </w:tblGrid>
      <w:tr w:rsidR="004150D5" w:rsidTr="007A40D2">
        <w:trPr>
          <w:trHeight w:val="1134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0D5" w:rsidRPr="00F431CD" w:rsidRDefault="004150D5" w:rsidP="00DB6332">
            <w:pPr>
              <w:pStyle w:val="ANBest"/>
              <w:jc w:val="center"/>
              <w:rPr>
                <w:sz w:val="24"/>
                <w:szCs w:val="24"/>
              </w:rPr>
            </w:pPr>
            <w:r w:rsidRPr="00F431CD">
              <w:rPr>
                <w:sz w:val="24"/>
                <w:szCs w:val="24"/>
              </w:rPr>
              <w:t>Landesamt für Gesundheit und Soziales</w:t>
            </w:r>
          </w:p>
          <w:p w:rsidR="004150D5" w:rsidRPr="0083426B" w:rsidRDefault="004150D5" w:rsidP="00DB6332">
            <w:pPr>
              <w:tabs>
                <w:tab w:val="left" w:pos="993"/>
              </w:tabs>
              <w:ind w:left="360"/>
              <w:jc w:val="center"/>
              <w:rPr>
                <w:rFonts w:ascii="Arial" w:hAnsi="Arial"/>
                <w:b/>
                <w:spacing w:val="-12"/>
                <w:sz w:val="6"/>
                <w:szCs w:val="6"/>
              </w:rPr>
            </w:pPr>
          </w:p>
          <w:p w:rsidR="004150D5" w:rsidRPr="00F431CD" w:rsidRDefault="004150D5" w:rsidP="00DB6332">
            <w:pPr>
              <w:pStyle w:val="ANBest"/>
              <w:jc w:val="center"/>
              <w:rPr>
                <w:sz w:val="20"/>
                <w:szCs w:val="20"/>
              </w:rPr>
            </w:pPr>
            <w:r w:rsidRPr="00F431CD">
              <w:rPr>
                <w:sz w:val="20"/>
                <w:szCs w:val="20"/>
              </w:rPr>
              <w:t>Abteilung 2</w:t>
            </w:r>
            <w:r w:rsidR="00301DD3">
              <w:rPr>
                <w:sz w:val="20"/>
                <w:szCs w:val="20"/>
              </w:rPr>
              <w:t xml:space="preserve"> - Förderangelegenheiten</w:t>
            </w:r>
          </w:p>
          <w:p w:rsidR="004150D5" w:rsidRPr="00CA7565" w:rsidRDefault="004150D5" w:rsidP="00DB6332">
            <w:pPr>
              <w:jc w:val="center"/>
              <w:rPr>
                <w:rFonts w:ascii="Arial" w:hAnsi="Arial"/>
                <w:b/>
                <w:spacing w:val="-12"/>
                <w:sz w:val="6"/>
                <w:szCs w:val="6"/>
              </w:rPr>
            </w:pPr>
          </w:p>
          <w:p w:rsidR="004150D5" w:rsidRPr="00F431CD" w:rsidRDefault="004150D5" w:rsidP="007A40D2">
            <w:pPr>
              <w:pStyle w:val="ANBest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0D5" w:rsidRDefault="004B2C2F" w:rsidP="00DB633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8350" cy="81216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50D5" w:rsidRDefault="004150D5" w:rsidP="004150D5">
      <w:pPr>
        <w:jc w:val="center"/>
        <w:rPr>
          <w:rFonts w:ascii="Arial" w:hAnsi="Arial" w:cs="Arial"/>
          <w:b/>
          <w:u w:val="single"/>
        </w:rPr>
      </w:pPr>
    </w:p>
    <w:p w:rsidR="00287F07" w:rsidRPr="004150D5" w:rsidRDefault="000E21DD" w:rsidP="004150D5">
      <w:pPr>
        <w:jc w:val="center"/>
        <w:rPr>
          <w:rFonts w:ascii="Arial" w:hAnsi="Arial" w:cs="Arial"/>
          <w:b/>
          <w:u w:val="single"/>
        </w:rPr>
      </w:pPr>
      <w:r w:rsidRPr="004150D5">
        <w:rPr>
          <w:rFonts w:ascii="Arial" w:hAnsi="Arial" w:cs="Arial"/>
          <w:b/>
          <w:u w:val="single"/>
        </w:rPr>
        <w:t>Erklärung zum Besserstellungsverbot</w:t>
      </w:r>
    </w:p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7083"/>
      </w:tblGrid>
      <w:tr w:rsidR="000E21DD" w:rsidRPr="006D4241" w:rsidTr="00FB47E1">
        <w:trPr>
          <w:trHeight w:val="501"/>
        </w:trPr>
        <w:tc>
          <w:tcPr>
            <w:tcW w:w="2160" w:type="dxa"/>
            <w:vAlign w:val="center"/>
          </w:tcPr>
          <w:p w:rsidR="000E21DD" w:rsidRPr="006D4241" w:rsidRDefault="000E21DD" w:rsidP="000E21DD">
            <w:pPr>
              <w:rPr>
                <w:rFonts w:ascii="Arial" w:hAnsi="Arial" w:cs="Arial"/>
                <w:sz w:val="22"/>
                <w:szCs w:val="22"/>
              </w:rPr>
            </w:pPr>
            <w:r w:rsidRPr="006D4241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200" w:type="dxa"/>
            <w:vAlign w:val="center"/>
          </w:tcPr>
          <w:p w:rsidR="000E21DD" w:rsidRPr="006D4241" w:rsidRDefault="007A40D2" w:rsidP="00FB47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225CF3" w:rsidRPr="006D4241" w:rsidTr="00FB47E1">
        <w:trPr>
          <w:trHeight w:val="715"/>
        </w:trPr>
        <w:tc>
          <w:tcPr>
            <w:tcW w:w="2160" w:type="dxa"/>
            <w:vAlign w:val="center"/>
          </w:tcPr>
          <w:p w:rsidR="00225CF3" w:rsidRPr="006D4241" w:rsidRDefault="00225CF3" w:rsidP="000E21DD">
            <w:pPr>
              <w:rPr>
                <w:rFonts w:ascii="Arial" w:hAnsi="Arial" w:cs="Arial"/>
                <w:sz w:val="22"/>
                <w:szCs w:val="22"/>
              </w:rPr>
            </w:pPr>
            <w:r w:rsidRPr="006D4241">
              <w:rPr>
                <w:rFonts w:ascii="Arial" w:hAnsi="Arial" w:cs="Arial"/>
                <w:sz w:val="16"/>
                <w:szCs w:val="16"/>
                <w:u w:val="single"/>
              </w:rPr>
              <w:t>sofern zutreffend:</w:t>
            </w:r>
            <w:r w:rsidRPr="006D424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D4241">
              <w:rPr>
                <w:rFonts w:ascii="Arial" w:hAnsi="Arial" w:cs="Arial"/>
                <w:sz w:val="22"/>
                <w:szCs w:val="22"/>
              </w:rPr>
              <w:t>antragstellender Wohlfahrtsverband</w:t>
            </w:r>
            <w:r w:rsidR="009A2410" w:rsidRPr="006D42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200" w:type="dxa"/>
            <w:vAlign w:val="center"/>
          </w:tcPr>
          <w:p w:rsidR="00225CF3" w:rsidRPr="006D4241" w:rsidRDefault="007A40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0E21DD" w:rsidRPr="006D4241" w:rsidTr="00FB47E1">
        <w:trPr>
          <w:trHeight w:val="361"/>
        </w:trPr>
        <w:tc>
          <w:tcPr>
            <w:tcW w:w="2160" w:type="dxa"/>
            <w:vAlign w:val="center"/>
          </w:tcPr>
          <w:p w:rsidR="000E21DD" w:rsidRPr="006D4241" w:rsidRDefault="000E21DD" w:rsidP="000E21DD">
            <w:pPr>
              <w:rPr>
                <w:rFonts w:ascii="Arial" w:hAnsi="Arial" w:cs="Arial"/>
                <w:sz w:val="22"/>
                <w:szCs w:val="22"/>
              </w:rPr>
            </w:pPr>
            <w:r w:rsidRPr="006D4241">
              <w:rPr>
                <w:rFonts w:ascii="Arial" w:hAnsi="Arial" w:cs="Arial"/>
                <w:sz w:val="22"/>
                <w:szCs w:val="22"/>
              </w:rPr>
              <w:t>Projekt</w:t>
            </w:r>
            <w:r w:rsidR="008C49BB" w:rsidRPr="006D4241">
              <w:rPr>
                <w:rFonts w:ascii="Arial" w:hAnsi="Arial" w:cs="Arial"/>
                <w:sz w:val="22"/>
                <w:szCs w:val="22"/>
              </w:rPr>
              <w:t>zeitraum</w:t>
            </w:r>
            <w:r w:rsidRPr="006D42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200" w:type="dxa"/>
            <w:vAlign w:val="center"/>
          </w:tcPr>
          <w:p w:rsidR="000E21DD" w:rsidRPr="006D4241" w:rsidRDefault="007A40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</w:tbl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p w:rsidR="00FB47E1" w:rsidRPr="00FB47E1" w:rsidRDefault="00FB47E1" w:rsidP="00FB5322">
      <w:pPr>
        <w:pStyle w:val="Default"/>
        <w:jc w:val="both"/>
        <w:rPr>
          <w:sz w:val="10"/>
          <w:szCs w:val="10"/>
        </w:rPr>
      </w:pPr>
    </w:p>
    <w:p w:rsidR="009A6691" w:rsidRDefault="000E21DD" w:rsidP="00FB5322">
      <w:pPr>
        <w:pStyle w:val="Default"/>
        <w:jc w:val="both"/>
        <w:rPr>
          <w:sz w:val="22"/>
          <w:szCs w:val="22"/>
        </w:rPr>
      </w:pPr>
      <w:r w:rsidRPr="00E073B5">
        <w:rPr>
          <w:sz w:val="22"/>
          <w:szCs w:val="22"/>
        </w:rPr>
        <w:t>Sollen aus der Zuwendung Personalausgaben oder sächliche Verwaltungsausgaben geleistet werden</w:t>
      </w:r>
      <w:r w:rsidR="00E073B5" w:rsidRPr="00E073B5">
        <w:rPr>
          <w:sz w:val="22"/>
          <w:szCs w:val="22"/>
        </w:rPr>
        <w:t>,</w:t>
      </w:r>
      <w:r w:rsidRPr="00E073B5">
        <w:rPr>
          <w:sz w:val="22"/>
          <w:szCs w:val="22"/>
        </w:rPr>
        <w:t xml:space="preserve"> d</w:t>
      </w:r>
      <w:r w:rsidR="00225CF3" w:rsidRPr="00E073B5">
        <w:rPr>
          <w:sz w:val="22"/>
          <w:szCs w:val="22"/>
        </w:rPr>
        <w:t>ü</w:t>
      </w:r>
      <w:r w:rsidRPr="00E073B5">
        <w:rPr>
          <w:sz w:val="22"/>
          <w:szCs w:val="22"/>
        </w:rPr>
        <w:t>rf</w:t>
      </w:r>
      <w:r w:rsidR="00225CF3" w:rsidRPr="00E073B5">
        <w:rPr>
          <w:sz w:val="22"/>
          <w:szCs w:val="22"/>
        </w:rPr>
        <w:t>en</w:t>
      </w:r>
      <w:r w:rsidRPr="00E073B5">
        <w:rPr>
          <w:sz w:val="22"/>
          <w:szCs w:val="22"/>
        </w:rPr>
        <w:t xml:space="preserve"> nach Nr. </w:t>
      </w:r>
      <w:r w:rsidR="00E1649F">
        <w:rPr>
          <w:sz w:val="22"/>
          <w:szCs w:val="22"/>
        </w:rPr>
        <w:t>5.2.2.4 der VV zu § 44 Landeshaushaltsordnung (LHO)</w:t>
      </w:r>
      <w:r w:rsidR="007A40D2">
        <w:rPr>
          <w:sz w:val="22"/>
          <w:szCs w:val="22"/>
        </w:rPr>
        <w:t xml:space="preserve"> bzw. Nr. 2.5 der Allgemeinen Nebenbestimmungen für Zuwendungen zur Projektförderung (</w:t>
      </w:r>
      <w:proofErr w:type="spellStart"/>
      <w:r w:rsidR="007A40D2">
        <w:rPr>
          <w:sz w:val="22"/>
          <w:szCs w:val="22"/>
        </w:rPr>
        <w:t>ANBest</w:t>
      </w:r>
      <w:proofErr w:type="spellEnd"/>
      <w:r w:rsidR="007A40D2">
        <w:rPr>
          <w:sz w:val="22"/>
          <w:szCs w:val="22"/>
        </w:rPr>
        <w:t>-P)</w:t>
      </w:r>
      <w:r w:rsidRPr="009A6691">
        <w:rPr>
          <w:sz w:val="22"/>
          <w:szCs w:val="22"/>
        </w:rPr>
        <w:t xml:space="preserve"> </w:t>
      </w:r>
      <w:r w:rsidR="00FB5322">
        <w:rPr>
          <w:sz w:val="22"/>
          <w:szCs w:val="22"/>
        </w:rPr>
        <w:t xml:space="preserve">die </w:t>
      </w:r>
      <w:r w:rsidR="00E073B5" w:rsidRPr="009A6691">
        <w:rPr>
          <w:sz w:val="22"/>
          <w:szCs w:val="22"/>
        </w:rPr>
        <w:t>Beschäftigte</w:t>
      </w:r>
      <w:r w:rsidR="00FB5322">
        <w:rPr>
          <w:sz w:val="22"/>
          <w:szCs w:val="22"/>
        </w:rPr>
        <w:t>n</w:t>
      </w:r>
      <w:r w:rsidR="00E073B5" w:rsidRPr="009A6691">
        <w:rPr>
          <w:sz w:val="22"/>
          <w:szCs w:val="22"/>
        </w:rPr>
        <w:t xml:space="preserve"> </w:t>
      </w:r>
      <w:r w:rsidR="00FB5322">
        <w:rPr>
          <w:sz w:val="22"/>
          <w:szCs w:val="22"/>
        </w:rPr>
        <w:t>des</w:t>
      </w:r>
      <w:r w:rsidR="00E073B5" w:rsidRPr="009A6691">
        <w:rPr>
          <w:sz w:val="22"/>
          <w:szCs w:val="22"/>
        </w:rPr>
        <w:t xml:space="preserve"> </w:t>
      </w:r>
      <w:r w:rsidRPr="009A6691">
        <w:rPr>
          <w:sz w:val="22"/>
          <w:szCs w:val="22"/>
        </w:rPr>
        <w:t>Zuwendungsempfänger</w:t>
      </w:r>
      <w:r w:rsidR="00FB5322">
        <w:rPr>
          <w:sz w:val="22"/>
          <w:szCs w:val="22"/>
        </w:rPr>
        <w:t>s</w:t>
      </w:r>
      <w:r w:rsidR="00E073B5" w:rsidRPr="009A6691">
        <w:rPr>
          <w:sz w:val="22"/>
          <w:szCs w:val="22"/>
        </w:rPr>
        <w:t xml:space="preserve"> </w:t>
      </w:r>
      <w:r w:rsidRPr="009A6691">
        <w:rPr>
          <w:sz w:val="22"/>
          <w:szCs w:val="22"/>
        </w:rPr>
        <w:t>nicht besser</w:t>
      </w:r>
      <w:r w:rsidR="00E073B5" w:rsidRPr="009A6691">
        <w:rPr>
          <w:sz w:val="22"/>
          <w:szCs w:val="22"/>
        </w:rPr>
        <w:t>ge</w:t>
      </w:r>
      <w:r w:rsidRPr="009A6691">
        <w:rPr>
          <w:sz w:val="22"/>
          <w:szCs w:val="22"/>
        </w:rPr>
        <w:t>stell</w:t>
      </w:r>
      <w:r w:rsidR="00E073B5" w:rsidRPr="009A6691">
        <w:rPr>
          <w:sz w:val="22"/>
          <w:szCs w:val="22"/>
        </w:rPr>
        <w:t>t</w:t>
      </w:r>
      <w:r w:rsidRPr="009A6691">
        <w:rPr>
          <w:sz w:val="22"/>
          <w:szCs w:val="22"/>
        </w:rPr>
        <w:t xml:space="preserve"> </w:t>
      </w:r>
      <w:r w:rsidR="00E073B5" w:rsidRPr="009A6691">
        <w:rPr>
          <w:sz w:val="22"/>
          <w:szCs w:val="22"/>
        </w:rPr>
        <w:t xml:space="preserve">werden </w:t>
      </w:r>
      <w:r w:rsidRPr="009A6691">
        <w:rPr>
          <w:sz w:val="22"/>
          <w:szCs w:val="22"/>
        </w:rPr>
        <w:t xml:space="preserve">als vergleichbare Landesbedienstete. Höhere Entgelte als </w:t>
      </w:r>
      <w:r w:rsidRPr="00FB5322">
        <w:rPr>
          <w:sz w:val="22"/>
          <w:szCs w:val="22"/>
        </w:rPr>
        <w:t xml:space="preserve">nach dem </w:t>
      </w:r>
      <w:r w:rsidR="00FB5322" w:rsidRPr="00FB5322">
        <w:rPr>
          <w:sz w:val="22"/>
          <w:szCs w:val="22"/>
        </w:rPr>
        <w:t>Tarifvertrag</w:t>
      </w:r>
      <w:r w:rsidR="00FB5322">
        <w:rPr>
          <w:sz w:val="22"/>
          <w:szCs w:val="22"/>
        </w:rPr>
        <w:t xml:space="preserve"> </w:t>
      </w:r>
      <w:r w:rsidR="00FB5322" w:rsidRPr="00FB5322">
        <w:rPr>
          <w:sz w:val="22"/>
          <w:szCs w:val="22"/>
        </w:rPr>
        <w:t>für den öffentlichen Dienst der Länder</w:t>
      </w:r>
      <w:r w:rsidR="00FB5322">
        <w:rPr>
          <w:sz w:val="22"/>
          <w:szCs w:val="22"/>
        </w:rPr>
        <w:t xml:space="preserve"> </w:t>
      </w:r>
      <w:r w:rsidR="00FB5322" w:rsidRPr="00FB5322">
        <w:rPr>
          <w:sz w:val="22"/>
          <w:szCs w:val="22"/>
        </w:rPr>
        <w:t xml:space="preserve">(TV-L) </w:t>
      </w:r>
      <w:r w:rsidRPr="00FB5322">
        <w:rPr>
          <w:sz w:val="22"/>
          <w:szCs w:val="22"/>
        </w:rPr>
        <w:t xml:space="preserve">sowie sonstige über- oder außertarifliche Leistungen dürfen nicht gewährt werden. </w:t>
      </w:r>
    </w:p>
    <w:p w:rsidR="0083426B" w:rsidRDefault="000E21DD" w:rsidP="004150D5">
      <w:pPr>
        <w:pStyle w:val="Default"/>
        <w:jc w:val="both"/>
        <w:rPr>
          <w:sz w:val="22"/>
          <w:szCs w:val="22"/>
        </w:rPr>
      </w:pPr>
      <w:r w:rsidRPr="00FB5322">
        <w:rPr>
          <w:sz w:val="22"/>
          <w:szCs w:val="22"/>
        </w:rPr>
        <w:t>Voraussetzung für die Anwend</w:t>
      </w:r>
      <w:r w:rsidR="009A6691" w:rsidRPr="00FB5322">
        <w:rPr>
          <w:sz w:val="22"/>
          <w:szCs w:val="22"/>
        </w:rPr>
        <w:t xml:space="preserve">barkeit des Besserstellungsverbotes </w:t>
      </w:r>
      <w:r w:rsidRPr="00FB5322">
        <w:rPr>
          <w:sz w:val="22"/>
          <w:szCs w:val="22"/>
        </w:rPr>
        <w:t>ist</w:t>
      </w:r>
      <w:r w:rsidR="00FB5322">
        <w:rPr>
          <w:sz w:val="22"/>
          <w:szCs w:val="22"/>
        </w:rPr>
        <w:t xml:space="preserve"> nach den ANBest-P</w:t>
      </w:r>
      <w:r w:rsidRPr="00FB5322">
        <w:rPr>
          <w:sz w:val="22"/>
          <w:szCs w:val="22"/>
        </w:rPr>
        <w:t xml:space="preserve">, </w:t>
      </w:r>
      <w:r w:rsidRPr="009A6691">
        <w:rPr>
          <w:sz w:val="22"/>
          <w:szCs w:val="22"/>
        </w:rPr>
        <w:t>dass die Gesamtausgaben</w:t>
      </w:r>
      <w:r w:rsidR="004F6EB0">
        <w:rPr>
          <w:sz w:val="22"/>
          <w:szCs w:val="22"/>
        </w:rPr>
        <w:t>*</w:t>
      </w:r>
      <w:r w:rsidRPr="009A6691">
        <w:rPr>
          <w:sz w:val="22"/>
          <w:szCs w:val="22"/>
        </w:rPr>
        <w:t xml:space="preserve"> des Zuwendungsempfängers überwiegend aus öffentlichen Mitteln bestritten werden.</w:t>
      </w:r>
      <w:r w:rsidR="004150D5" w:rsidRPr="009A6691">
        <w:rPr>
          <w:sz w:val="22"/>
          <w:szCs w:val="22"/>
        </w:rPr>
        <w:t xml:space="preserve"> </w:t>
      </w:r>
      <w:r w:rsidR="00C6109C">
        <w:rPr>
          <w:sz w:val="22"/>
          <w:szCs w:val="22"/>
        </w:rPr>
        <w:t xml:space="preserve">Nach den Vorschriften des Haushaltsgesetzes M-V werden die zu berücksichtigenden öffentlichen Mittel dahingehend konkretisiert, dass hierunter nur „Zuwendungen der öffentlichen Hand“ zu verstehen sind. </w:t>
      </w:r>
      <w:r w:rsidR="009A6691" w:rsidRPr="009A6691">
        <w:rPr>
          <w:sz w:val="22"/>
          <w:szCs w:val="22"/>
        </w:rPr>
        <w:t xml:space="preserve">Damit finden sämtliche öffentlichen Mittel auf die ein Rechtsanspruch besteht </w:t>
      </w:r>
      <w:r w:rsidR="0035219F">
        <w:rPr>
          <w:sz w:val="22"/>
          <w:szCs w:val="22"/>
        </w:rPr>
        <w:t xml:space="preserve">(gesetzliche Leistungen) </w:t>
      </w:r>
      <w:r w:rsidR="009A6691" w:rsidRPr="009A6691">
        <w:rPr>
          <w:sz w:val="22"/>
          <w:szCs w:val="22"/>
        </w:rPr>
        <w:t>bzw. Mittel, die auf der Grundlage privatrechtlicher Verträge geleistet werden, keine Berücksichtigung.</w:t>
      </w:r>
    </w:p>
    <w:p w:rsidR="007A40D2" w:rsidRPr="00FB47E1" w:rsidRDefault="007A40D2" w:rsidP="004150D5">
      <w:pPr>
        <w:pStyle w:val="Default"/>
        <w:jc w:val="both"/>
        <w:rPr>
          <w:sz w:val="10"/>
          <w:szCs w:val="10"/>
        </w:rPr>
      </w:pPr>
    </w:p>
    <w:p w:rsidR="00225CF3" w:rsidRPr="009A6691" w:rsidRDefault="0083426B" w:rsidP="004150D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Bei Anwendbarkeit führt d</w:t>
      </w:r>
      <w:r w:rsidR="00225CF3" w:rsidRPr="009A6691">
        <w:rPr>
          <w:sz w:val="22"/>
          <w:szCs w:val="22"/>
        </w:rPr>
        <w:t>ie Verletzung des Besserstellungsverbotes grundsätzlich zur Versagung der Förderung. Ausnahmen sind beim Vorliegen eines abweichenden Tarifvertrages möglich.</w:t>
      </w:r>
    </w:p>
    <w:p w:rsidR="00225CF3" w:rsidRPr="009A362F" w:rsidRDefault="00225CF3" w:rsidP="004150D5">
      <w:pPr>
        <w:pStyle w:val="Default"/>
        <w:jc w:val="both"/>
        <w:rPr>
          <w:sz w:val="10"/>
          <w:szCs w:val="10"/>
        </w:rPr>
      </w:pPr>
    </w:p>
    <w:p w:rsidR="009A6691" w:rsidRPr="009A362F" w:rsidRDefault="009A6691" w:rsidP="004150D5">
      <w:pPr>
        <w:pStyle w:val="Default"/>
        <w:jc w:val="both"/>
        <w:rPr>
          <w:sz w:val="10"/>
          <w:szCs w:val="1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8820"/>
      </w:tblGrid>
      <w:tr w:rsidR="00482C73" w:rsidRPr="006D4241" w:rsidTr="006D4241">
        <w:trPr>
          <w:trHeight w:val="423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vAlign w:val="center"/>
          </w:tcPr>
          <w:p w:rsidR="00482C73" w:rsidRPr="006D4241" w:rsidRDefault="00482C73" w:rsidP="006D4241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 xml:space="preserve">Unter Berücksichtigung </w:t>
            </w:r>
            <w:r w:rsidR="00F431CD" w:rsidRPr="006D4241">
              <w:rPr>
                <w:sz w:val="22"/>
                <w:szCs w:val="22"/>
              </w:rPr>
              <w:t>dieser</w:t>
            </w:r>
            <w:r w:rsidRPr="006D4241">
              <w:rPr>
                <w:sz w:val="22"/>
                <w:szCs w:val="22"/>
              </w:rPr>
              <w:t xml:space="preserve"> Hinweise erkläre ich </w:t>
            </w:r>
            <w:r w:rsidR="00F431CD" w:rsidRPr="006D4241">
              <w:rPr>
                <w:sz w:val="22"/>
                <w:szCs w:val="22"/>
              </w:rPr>
              <w:t xml:space="preserve">für und </w:t>
            </w:r>
            <w:r w:rsidRPr="006D4241">
              <w:rPr>
                <w:sz w:val="22"/>
                <w:szCs w:val="22"/>
              </w:rPr>
              <w:t xml:space="preserve">im Namen des o.g. Antragstellers, </w:t>
            </w:r>
          </w:p>
        </w:tc>
      </w:tr>
      <w:bookmarkStart w:id="4" w:name="_GoBack"/>
      <w:tr w:rsidR="00482C73" w:rsidRPr="006D4241" w:rsidTr="006D4241">
        <w:trPr>
          <w:trHeight w:val="5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2C73" w:rsidRPr="006D4241" w:rsidRDefault="00482C73" w:rsidP="009A362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"/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BC3F8C">
              <w:rPr>
                <w:sz w:val="22"/>
                <w:szCs w:val="22"/>
              </w:rPr>
            </w:r>
            <w:r w:rsidR="00BC3F8C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  <w:bookmarkEnd w:id="5"/>
            <w:bookmarkEnd w:id="4"/>
          </w:p>
        </w:tc>
        <w:tc>
          <w:tcPr>
            <w:tcW w:w="8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2C73" w:rsidRPr="006D4241" w:rsidRDefault="00482C73" w:rsidP="006D4241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>dass die Gesamtausgaben</w:t>
            </w:r>
            <w:r w:rsidR="004F6EB0">
              <w:rPr>
                <w:sz w:val="22"/>
                <w:szCs w:val="22"/>
              </w:rPr>
              <w:t>*</w:t>
            </w:r>
            <w:r w:rsidRPr="006D4241">
              <w:rPr>
                <w:sz w:val="22"/>
                <w:szCs w:val="22"/>
              </w:rPr>
              <w:t xml:space="preserve"> nicht überwiegend (mehr als 50 v.H.) aus Zuwendungen der öffentlichen Hand bestritten werden.</w:t>
            </w:r>
          </w:p>
        </w:tc>
      </w:tr>
      <w:tr w:rsidR="00482C73" w:rsidRPr="006D4241" w:rsidTr="006D4241">
        <w:trPr>
          <w:trHeight w:val="124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2C73" w:rsidRPr="006D4241" w:rsidRDefault="00482C73" w:rsidP="009A362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BC3F8C">
              <w:rPr>
                <w:sz w:val="22"/>
                <w:szCs w:val="22"/>
              </w:rPr>
            </w:r>
            <w:r w:rsidR="00BC3F8C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2C73" w:rsidRPr="006D4241" w:rsidRDefault="00482C73" w:rsidP="006D4241">
            <w:pPr>
              <w:pStyle w:val="Default"/>
              <w:jc w:val="both"/>
              <w:rPr>
                <w:sz w:val="2"/>
                <w:szCs w:val="2"/>
                <w:u w:val="single"/>
              </w:rPr>
            </w:pPr>
            <w:r w:rsidRPr="006D4241">
              <w:rPr>
                <w:sz w:val="22"/>
                <w:szCs w:val="22"/>
              </w:rPr>
              <w:t>dass die Gesamtausgaben</w:t>
            </w:r>
            <w:r w:rsidR="004F6EB0">
              <w:rPr>
                <w:sz w:val="22"/>
                <w:szCs w:val="22"/>
              </w:rPr>
              <w:t>*</w:t>
            </w:r>
            <w:r w:rsidRPr="006D4241">
              <w:rPr>
                <w:sz w:val="22"/>
                <w:szCs w:val="22"/>
              </w:rPr>
              <w:t xml:space="preserve"> überwiegend (mehr als 50 v.H.) aus Zuwendungen der öffentlichen Hand bestritten werden </w:t>
            </w:r>
          </w:p>
          <w:p w:rsidR="00482C73" w:rsidRPr="006D4241" w:rsidRDefault="00482C73" w:rsidP="006D4241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r w:rsidRPr="006D4241">
              <w:rPr>
                <w:sz w:val="22"/>
                <w:szCs w:val="22"/>
                <w:u w:val="single"/>
              </w:rPr>
              <w:t xml:space="preserve">und </w:t>
            </w:r>
          </w:p>
          <w:p w:rsidR="00482C73" w:rsidRPr="006D4241" w:rsidRDefault="00482C73" w:rsidP="006D4241">
            <w:pPr>
              <w:pStyle w:val="Default"/>
              <w:jc w:val="both"/>
              <w:rPr>
                <w:sz w:val="2"/>
                <w:szCs w:val="2"/>
              </w:rPr>
            </w:pPr>
          </w:p>
          <w:p w:rsidR="00482C73" w:rsidRDefault="00482C73" w:rsidP="006D4241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>die aus der Zuwendung finanzierten Beschäftigten den Regelungen eines abweichenden Tarifvertrages unter</w:t>
            </w:r>
            <w:r w:rsidR="0016104F" w:rsidRPr="006D4241">
              <w:rPr>
                <w:sz w:val="22"/>
                <w:szCs w:val="22"/>
              </w:rPr>
              <w:t>liegen</w:t>
            </w:r>
            <w:r w:rsidRPr="006D4241">
              <w:rPr>
                <w:sz w:val="22"/>
                <w:szCs w:val="22"/>
              </w:rPr>
              <w:t xml:space="preserve">. </w:t>
            </w:r>
          </w:p>
          <w:p w:rsidR="004F6EB0" w:rsidRPr="006D4241" w:rsidRDefault="004F6EB0" w:rsidP="006D424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Benennung des Tarifvertrages: </w:t>
            </w: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6"/>
          </w:p>
        </w:tc>
      </w:tr>
      <w:tr w:rsidR="00F431CD" w:rsidRPr="006D4241" w:rsidTr="006D4241">
        <w:trPr>
          <w:trHeight w:val="1421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F431CD" w:rsidRPr="006D4241" w:rsidRDefault="00F431CD" w:rsidP="009A362F">
            <w:pPr>
              <w:pStyle w:val="Default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4241">
              <w:rPr>
                <w:sz w:val="22"/>
                <w:szCs w:val="22"/>
              </w:rPr>
              <w:instrText xml:space="preserve"> FORMCHECKBOX </w:instrText>
            </w:r>
            <w:r w:rsidR="00BC3F8C">
              <w:rPr>
                <w:sz w:val="22"/>
                <w:szCs w:val="22"/>
              </w:rPr>
            </w:r>
            <w:r w:rsidR="00BC3F8C">
              <w:rPr>
                <w:sz w:val="22"/>
                <w:szCs w:val="22"/>
              </w:rPr>
              <w:fldChar w:fldCharType="separate"/>
            </w:r>
            <w:r w:rsidRPr="006D4241">
              <w:rPr>
                <w:sz w:val="22"/>
                <w:szCs w:val="22"/>
              </w:rPr>
              <w:fldChar w:fldCharType="end"/>
            </w:r>
          </w:p>
        </w:tc>
        <w:tc>
          <w:tcPr>
            <w:tcW w:w="8820" w:type="dxa"/>
            <w:tcBorders>
              <w:top w:val="single" w:sz="4" w:space="0" w:color="auto"/>
            </w:tcBorders>
            <w:vAlign w:val="center"/>
          </w:tcPr>
          <w:p w:rsidR="00F431CD" w:rsidRPr="006D4241" w:rsidRDefault="00F431CD" w:rsidP="006D4241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>dass die Gesamtausgaben</w:t>
            </w:r>
            <w:r w:rsidR="004F6EB0">
              <w:rPr>
                <w:sz w:val="22"/>
                <w:szCs w:val="22"/>
              </w:rPr>
              <w:t>*</w:t>
            </w:r>
            <w:r w:rsidRPr="006D4241">
              <w:rPr>
                <w:sz w:val="22"/>
                <w:szCs w:val="22"/>
              </w:rPr>
              <w:t xml:space="preserve"> überwiegend (mehr als 50 v.H.) aus Zuwendungen der öffentlichen Hand bestritten werden </w:t>
            </w:r>
          </w:p>
          <w:p w:rsidR="00F431CD" w:rsidRPr="006D4241" w:rsidRDefault="00F431CD" w:rsidP="006D4241">
            <w:pPr>
              <w:pStyle w:val="Default"/>
              <w:jc w:val="both"/>
              <w:rPr>
                <w:sz w:val="2"/>
                <w:szCs w:val="2"/>
                <w:u w:val="single"/>
              </w:rPr>
            </w:pPr>
          </w:p>
          <w:p w:rsidR="00F431CD" w:rsidRPr="006D4241" w:rsidRDefault="00F431CD" w:rsidP="006D4241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r w:rsidRPr="006D4241">
              <w:rPr>
                <w:sz w:val="22"/>
                <w:szCs w:val="22"/>
                <w:u w:val="single"/>
              </w:rPr>
              <w:t xml:space="preserve">und </w:t>
            </w:r>
          </w:p>
          <w:p w:rsidR="00F431CD" w:rsidRPr="006D4241" w:rsidRDefault="00F431CD" w:rsidP="006D4241">
            <w:pPr>
              <w:pStyle w:val="Default"/>
              <w:jc w:val="both"/>
              <w:rPr>
                <w:sz w:val="2"/>
                <w:szCs w:val="2"/>
              </w:rPr>
            </w:pPr>
          </w:p>
          <w:p w:rsidR="00F431CD" w:rsidRPr="006D4241" w:rsidRDefault="00F431CD" w:rsidP="006D4241">
            <w:pPr>
              <w:pStyle w:val="Default"/>
              <w:jc w:val="both"/>
              <w:rPr>
                <w:sz w:val="22"/>
                <w:szCs w:val="22"/>
              </w:rPr>
            </w:pPr>
            <w:r w:rsidRPr="006D4241">
              <w:rPr>
                <w:sz w:val="22"/>
                <w:szCs w:val="22"/>
              </w:rPr>
              <w:t>die aus der Zuwendung finanzierten Beschäftigten nicht den Regelungen eines abweichenden Tarifvertrages unterliegen.</w:t>
            </w:r>
          </w:p>
        </w:tc>
      </w:tr>
    </w:tbl>
    <w:p w:rsidR="009A6691" w:rsidRPr="004F6EB0" w:rsidRDefault="004F6EB0" w:rsidP="004F6EB0">
      <w:pPr>
        <w:pStyle w:val="Default"/>
        <w:jc w:val="both"/>
        <w:rPr>
          <w:sz w:val="16"/>
          <w:szCs w:val="16"/>
        </w:rPr>
      </w:pPr>
      <w:r w:rsidRPr="004F6EB0">
        <w:rPr>
          <w:sz w:val="16"/>
          <w:szCs w:val="16"/>
        </w:rPr>
        <w:t>*</w:t>
      </w:r>
      <w:r>
        <w:rPr>
          <w:sz w:val="16"/>
          <w:szCs w:val="16"/>
        </w:rPr>
        <w:t xml:space="preserve"> Gesamtausgaben als Träger bezogen auf das Geschäftsjahr (nicht bezogen auf die Projektausgaben)</w:t>
      </w:r>
    </w:p>
    <w:p w:rsidR="009A362F" w:rsidRDefault="009A362F" w:rsidP="009A362F">
      <w:pPr>
        <w:rPr>
          <w:rFonts w:ascii="Arial" w:hAnsi="Arial" w:cs="Arial"/>
          <w:b/>
          <w:bCs/>
        </w:rPr>
      </w:pPr>
    </w:p>
    <w:p w:rsidR="00F431CD" w:rsidRPr="00F431CD" w:rsidRDefault="00F431CD" w:rsidP="009A362F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2802"/>
      </w:tblGrid>
      <w:tr w:rsidR="009A362F" w:rsidRPr="006D4241" w:rsidTr="006D4241">
        <w:tc>
          <w:tcPr>
            <w:tcW w:w="2802" w:type="dxa"/>
            <w:tcBorders>
              <w:top w:val="thinThickSmallGap" w:sz="24" w:space="0" w:color="auto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D4241">
              <w:rPr>
                <w:rFonts w:ascii="Arial" w:hAnsi="Arial" w:cs="Arial"/>
                <w:bCs/>
                <w:sz w:val="18"/>
                <w:szCs w:val="18"/>
              </w:rPr>
              <w:t>Ort, Datum</w:t>
            </w:r>
          </w:p>
        </w:tc>
      </w:tr>
    </w:tbl>
    <w:p w:rsidR="009A362F" w:rsidRPr="009A362F" w:rsidRDefault="009A362F" w:rsidP="009A362F">
      <w:pPr>
        <w:rPr>
          <w:rFonts w:ascii="Arial" w:hAnsi="Arial" w:cs="Arial"/>
          <w:b/>
          <w:bCs/>
        </w:rPr>
      </w:pPr>
    </w:p>
    <w:p w:rsidR="009A362F" w:rsidRDefault="009A362F" w:rsidP="009A362F">
      <w:pPr>
        <w:rPr>
          <w:rFonts w:ascii="Arial" w:hAnsi="Arial" w:cs="Arial"/>
          <w:b/>
          <w:bCs/>
        </w:rPr>
      </w:pPr>
    </w:p>
    <w:p w:rsidR="00F431CD" w:rsidRPr="009A362F" w:rsidRDefault="00F431CD" w:rsidP="009A362F">
      <w:pPr>
        <w:rPr>
          <w:rFonts w:ascii="Arial" w:hAnsi="Arial" w:cs="Arial"/>
          <w:b/>
          <w:bCs/>
        </w:rPr>
      </w:pPr>
    </w:p>
    <w:p w:rsidR="009A362F" w:rsidRDefault="009A362F" w:rsidP="009A362F">
      <w:pPr>
        <w:rPr>
          <w:rFonts w:ascii="Arial" w:hAnsi="Arial" w:cs="Arial"/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84"/>
        <w:gridCol w:w="2958"/>
        <w:gridCol w:w="236"/>
        <w:gridCol w:w="3047"/>
      </w:tblGrid>
      <w:tr w:rsidR="009A362F" w:rsidRPr="006D4241" w:rsidTr="006D4241">
        <w:tc>
          <w:tcPr>
            <w:tcW w:w="294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Name in Druckschrift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 xml:space="preserve">Rechtsverbindliche Unterschrift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Stempel</w:t>
            </w:r>
          </w:p>
        </w:tc>
      </w:tr>
    </w:tbl>
    <w:p w:rsidR="009A362F" w:rsidRDefault="009A362F" w:rsidP="004F6EB0">
      <w:pPr>
        <w:pStyle w:val="Default"/>
        <w:jc w:val="both"/>
      </w:pPr>
    </w:p>
    <w:sectPr w:rsidR="009A362F" w:rsidSect="00F431CD">
      <w:pgSz w:w="11906" w:h="16838"/>
      <w:pgMar w:top="1258" w:right="1286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872DB"/>
    <w:multiLevelType w:val="hybridMultilevel"/>
    <w:tmpl w:val="FDF2B5C8"/>
    <w:lvl w:ilvl="0" w:tplc="8820949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lM7vVDl5E9UxxiiSXfWi2Dp4UzU5xlP88fCr/mrn7kD8YIHHcQsWtrlET1bwhlsol2VBbbE/VPaI4vOW/YKfA==" w:salt="Ec1Z9kz5i3sn2h6oqfOP0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DD"/>
    <w:rsid w:val="000E21DD"/>
    <w:rsid w:val="0016104F"/>
    <w:rsid w:val="00225CF3"/>
    <w:rsid w:val="002749A5"/>
    <w:rsid w:val="00287F07"/>
    <w:rsid w:val="00301DD3"/>
    <w:rsid w:val="00307747"/>
    <w:rsid w:val="0035219F"/>
    <w:rsid w:val="004150D5"/>
    <w:rsid w:val="00482C73"/>
    <w:rsid w:val="004B2C2F"/>
    <w:rsid w:val="004F3436"/>
    <w:rsid w:val="004F6EB0"/>
    <w:rsid w:val="005F0187"/>
    <w:rsid w:val="006D4241"/>
    <w:rsid w:val="007A40D2"/>
    <w:rsid w:val="0083426B"/>
    <w:rsid w:val="008C49BB"/>
    <w:rsid w:val="009A2410"/>
    <w:rsid w:val="009A362F"/>
    <w:rsid w:val="009A6691"/>
    <w:rsid w:val="00B343C0"/>
    <w:rsid w:val="00B60AD2"/>
    <w:rsid w:val="00B66976"/>
    <w:rsid w:val="00BC3F8C"/>
    <w:rsid w:val="00C6109C"/>
    <w:rsid w:val="00DB6332"/>
    <w:rsid w:val="00E073B5"/>
    <w:rsid w:val="00E1649F"/>
    <w:rsid w:val="00F431CD"/>
    <w:rsid w:val="00FB47E1"/>
    <w:rsid w:val="00F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15EAF"/>
  <w15:chartTrackingRefBased/>
  <w15:docId w15:val="{55922CF4-078D-4AD1-B18B-2E1E333F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73B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0E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1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Best">
    <w:name w:val="ANBest"/>
    <w:basedOn w:val="Standard"/>
    <w:next w:val="Standard"/>
    <w:rsid w:val="004150D5"/>
    <w:pPr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styleId="Sprechblasentext">
    <w:name w:val="Balloon Text"/>
    <w:basedOn w:val="Standard"/>
    <w:semiHidden/>
    <w:rsid w:val="009A3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zum Besserstellungsverbot</vt:lpstr>
    </vt:vector>
  </TitlesOfParts>
  <Company>Landesversorgungsamt M-V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zum Besserstellungsverbot</dc:title>
  <dc:subject/>
  <dc:creator>,</dc:creator>
  <cp:keywords/>
  <dc:description/>
  <cp:lastModifiedBy>Waterstradt, Jana</cp:lastModifiedBy>
  <cp:revision>2</cp:revision>
  <cp:lastPrinted>2011-03-04T07:32:00Z</cp:lastPrinted>
  <dcterms:created xsi:type="dcterms:W3CDTF">2022-07-18T06:44:00Z</dcterms:created>
  <dcterms:modified xsi:type="dcterms:W3CDTF">2022-07-18T06:44:00Z</dcterms:modified>
</cp:coreProperties>
</file>